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2213"/>
        <w:gridCol w:w="3007"/>
      </w:tblGrid>
      <w:tr w:rsidR="00787AAE" w:rsidRPr="006C7956" w:rsidTr="002B0F1C">
        <w:trPr>
          <w:trHeight w:val="1560"/>
        </w:trPr>
        <w:tc>
          <w:tcPr>
            <w:tcW w:w="3507" w:type="dxa"/>
            <w:shd w:val="clear" w:color="auto" w:fill="auto"/>
          </w:tcPr>
          <w:p w:rsidR="00787AAE" w:rsidRPr="008D49BB" w:rsidRDefault="00787AAE" w:rsidP="002B0F1C">
            <w:pPr>
              <w:spacing w:after="0"/>
              <w:jc w:val="center"/>
              <w:rPr>
                <w:rFonts w:ascii="Tahoma" w:hAnsi="Tahoma" w:cs="Tahoma"/>
                <w:b/>
                <w:szCs w:val="24"/>
                <w:lang w:val="en-GB"/>
              </w:rPr>
            </w:pPr>
            <w:r>
              <w:rPr>
                <w:rFonts w:ascii="Calibri" w:hAnsi="Calibri"/>
                <w:noProof/>
                <w:sz w:val="14"/>
                <w:szCs w:val="14"/>
                <w:lang w:val="en-US"/>
              </w:rPr>
              <w:drawing>
                <wp:inline distT="0" distB="0" distL="0" distR="0" wp14:anchorId="63FBAC14" wp14:editId="490576F9">
                  <wp:extent cx="1760561" cy="909819"/>
                  <wp:effectExtent l="0" t="0" r="0" b="5080"/>
                  <wp:docPr id="8" name="Picture 8" descr="DCAF_Logo_Engl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CAF_Logo_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5" t="18140" r="9357" b="14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765" cy="909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8" w:type="dxa"/>
            <w:shd w:val="clear" w:color="auto" w:fill="auto"/>
          </w:tcPr>
          <w:p w:rsidR="00787AAE" w:rsidRPr="008D49BB" w:rsidRDefault="00787AAE" w:rsidP="006936FD">
            <w:pPr>
              <w:spacing w:before="120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n-GB" w:eastAsia="hr-HR"/>
              </w:rPr>
            </w:pPr>
          </w:p>
          <w:p w:rsidR="00787AAE" w:rsidRPr="008D49BB" w:rsidRDefault="00787AAE" w:rsidP="006936FD">
            <w:pPr>
              <w:spacing w:before="120"/>
              <w:jc w:val="center"/>
              <w:rPr>
                <w:rFonts w:ascii="Tahoma" w:hAnsi="Tahoma" w:cs="Tahoma"/>
                <w:b/>
                <w:szCs w:val="24"/>
                <w:lang w:val="en-GB"/>
              </w:rPr>
            </w:pPr>
          </w:p>
        </w:tc>
        <w:tc>
          <w:tcPr>
            <w:tcW w:w="3508" w:type="dxa"/>
            <w:shd w:val="clear" w:color="auto" w:fill="auto"/>
          </w:tcPr>
          <w:p w:rsidR="00787AAE" w:rsidRPr="008D49BB" w:rsidRDefault="00787AAE" w:rsidP="002B0F1C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  <w:lang w:val="en-US"/>
              </w:rPr>
              <w:drawing>
                <wp:inline distT="0" distB="0" distL="0" distR="0" wp14:anchorId="71B20406" wp14:editId="555144A7">
                  <wp:extent cx="1282890" cy="657804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595" cy="6586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7AAE" w:rsidRPr="008D49BB" w:rsidRDefault="00787AAE" w:rsidP="006936FD">
            <w:pPr>
              <w:pStyle w:val="BodyText"/>
              <w:rPr>
                <w:rFonts w:ascii="Arial" w:hAnsi="Arial" w:cs="Arial"/>
                <w:sz w:val="14"/>
                <w:szCs w:val="14"/>
              </w:rPr>
            </w:pPr>
            <w:r w:rsidRPr="008D49BB">
              <w:rPr>
                <w:rFonts w:ascii="Arial" w:hAnsi="Arial" w:cs="Arial"/>
                <w:sz w:val="14"/>
                <w:szCs w:val="14"/>
              </w:rPr>
              <w:t>National Assembly of</w:t>
            </w:r>
          </w:p>
          <w:p w:rsidR="00787AAE" w:rsidRPr="008D49BB" w:rsidRDefault="00787AAE" w:rsidP="002B0F1C">
            <w:pPr>
              <w:spacing w:after="0"/>
              <w:jc w:val="center"/>
              <w:rPr>
                <w:rFonts w:ascii="Tahoma" w:hAnsi="Tahoma" w:cs="Tahoma"/>
                <w:b/>
                <w:szCs w:val="24"/>
                <w:lang w:val="en-GB"/>
              </w:rPr>
            </w:pPr>
            <w:r w:rsidRPr="007257FD">
              <w:rPr>
                <w:rFonts w:ascii="Arial" w:hAnsi="Arial" w:cs="Arial"/>
                <w:b/>
                <w:sz w:val="14"/>
                <w:szCs w:val="14"/>
                <w:lang w:val="en-GB"/>
              </w:rPr>
              <w:t>the Republic of Serbia</w:t>
            </w:r>
          </w:p>
        </w:tc>
      </w:tr>
    </w:tbl>
    <w:p w:rsidR="00787AAE" w:rsidRDefault="00787AAE" w:rsidP="005F37B9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val="en-GB" w:eastAsia="x-none"/>
        </w:rPr>
      </w:pPr>
    </w:p>
    <w:p w:rsidR="005F37B9" w:rsidRPr="008923AA" w:rsidRDefault="005F37B9" w:rsidP="005F37B9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val="en-GB" w:eastAsia="x-none"/>
        </w:rPr>
      </w:pPr>
      <w:r w:rsidRPr="008923AA">
        <w:rPr>
          <w:rFonts w:ascii="Calibri" w:eastAsia="Times New Roman" w:hAnsi="Calibri" w:cs="Times New Roman"/>
          <w:sz w:val="28"/>
          <w:szCs w:val="28"/>
          <w:lang w:val="en-GB" w:eastAsia="x-none"/>
        </w:rPr>
        <w:t>Regional Parliamentary Dialogue on</w:t>
      </w:r>
    </w:p>
    <w:p w:rsidR="005F37B9" w:rsidRPr="005455B5" w:rsidRDefault="005F37B9" w:rsidP="005F37B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6"/>
          <w:lang w:val="en-GB" w:eastAsia="x-none"/>
        </w:rPr>
      </w:pPr>
      <w:r w:rsidRPr="005455B5">
        <w:rPr>
          <w:rFonts w:ascii="Calibri" w:eastAsia="Times New Roman" w:hAnsi="Calibri" w:cs="Times New Roman"/>
          <w:b/>
          <w:sz w:val="28"/>
          <w:szCs w:val="26"/>
          <w:lang w:val="en-GB" w:eastAsia="x-none"/>
        </w:rPr>
        <w:t xml:space="preserve">Migration Management, Refugee Protection and the Fight against Organized </w:t>
      </w:r>
      <w:r w:rsidR="005455B5" w:rsidRPr="005455B5">
        <w:rPr>
          <w:rFonts w:ascii="Calibri" w:eastAsia="Times New Roman" w:hAnsi="Calibri" w:cs="Times New Roman"/>
          <w:b/>
          <w:sz w:val="28"/>
          <w:szCs w:val="26"/>
          <w:lang w:val="en-GB" w:eastAsia="x-none"/>
        </w:rPr>
        <w:t>C</w:t>
      </w:r>
      <w:r w:rsidRPr="005455B5">
        <w:rPr>
          <w:rFonts w:ascii="Calibri" w:eastAsia="Times New Roman" w:hAnsi="Calibri" w:cs="Times New Roman"/>
          <w:b/>
          <w:sz w:val="28"/>
          <w:szCs w:val="26"/>
          <w:lang w:val="en-GB" w:eastAsia="x-none"/>
        </w:rPr>
        <w:t>rime</w:t>
      </w:r>
    </w:p>
    <w:p w:rsidR="005F37B9" w:rsidRPr="005F37B9" w:rsidRDefault="005F37B9" w:rsidP="009345B2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sz w:val="28"/>
          <w:szCs w:val="28"/>
          <w:lang w:val="en-GB" w:eastAsia="x-none"/>
        </w:rPr>
      </w:pPr>
      <w:r w:rsidRPr="005F37B9">
        <w:rPr>
          <w:rFonts w:ascii="Calibri" w:eastAsia="Times New Roman" w:hAnsi="Calibri" w:cs="Times New Roman"/>
          <w:b/>
          <w:sz w:val="28"/>
          <w:szCs w:val="28"/>
          <w:lang w:val="en-GB" w:eastAsia="x-none"/>
        </w:rPr>
        <w:t>National Resp</w:t>
      </w:r>
      <w:r w:rsidR="009345B2">
        <w:rPr>
          <w:rFonts w:ascii="Calibri" w:eastAsia="Times New Roman" w:hAnsi="Calibri" w:cs="Times New Roman"/>
          <w:b/>
          <w:sz w:val="28"/>
          <w:szCs w:val="28"/>
          <w:lang w:val="en-GB" w:eastAsia="x-none"/>
        </w:rPr>
        <w:t>onses and Regional Cooperation</w:t>
      </w:r>
    </w:p>
    <w:p w:rsidR="005F37B9" w:rsidRPr="005455B5" w:rsidRDefault="005455B5" w:rsidP="001A3EC7">
      <w:pPr>
        <w:spacing w:before="120" w:after="360" w:line="240" w:lineRule="auto"/>
        <w:jc w:val="center"/>
        <w:rPr>
          <w:rFonts w:ascii="Calibri" w:eastAsia="Times New Roman" w:hAnsi="Calibri" w:cs="Tahoma"/>
          <w:b/>
          <w:szCs w:val="24"/>
          <w:lang w:val="en-GB"/>
        </w:rPr>
      </w:pPr>
      <w:r w:rsidRPr="005455B5">
        <w:rPr>
          <w:rFonts w:ascii="Calibri" w:eastAsia="Times New Roman" w:hAnsi="Calibri" w:cs="Tahoma"/>
          <w:b/>
          <w:szCs w:val="24"/>
          <w:lang w:val="en-GB"/>
        </w:rPr>
        <w:t xml:space="preserve">Belgrade, </w:t>
      </w:r>
      <w:r w:rsidR="005F37B9" w:rsidRPr="005455B5">
        <w:rPr>
          <w:rFonts w:ascii="Calibri" w:eastAsia="Times New Roman" w:hAnsi="Calibri" w:cs="Tahoma"/>
          <w:b/>
          <w:szCs w:val="24"/>
          <w:lang w:val="en-GB"/>
        </w:rPr>
        <w:t>26 – 27</w:t>
      </w:r>
      <w:r w:rsidR="00787AAE" w:rsidRPr="005455B5">
        <w:rPr>
          <w:rFonts w:ascii="Calibri" w:eastAsia="Times New Roman" w:hAnsi="Calibri" w:cs="Tahoma"/>
          <w:b/>
          <w:szCs w:val="24"/>
          <w:vertAlign w:val="superscript"/>
          <w:lang w:val="en-GB"/>
        </w:rPr>
        <w:t xml:space="preserve"> </w:t>
      </w:r>
      <w:r w:rsidR="005F37B9" w:rsidRPr="005455B5">
        <w:rPr>
          <w:rFonts w:ascii="Calibri" w:eastAsia="Times New Roman" w:hAnsi="Calibri" w:cs="Tahoma"/>
          <w:b/>
          <w:szCs w:val="24"/>
          <w:lang w:val="en-GB"/>
        </w:rPr>
        <w:t>November 2015</w:t>
      </w:r>
    </w:p>
    <w:p w:rsidR="005F37B9" w:rsidRPr="00674448" w:rsidRDefault="009345B2" w:rsidP="001A3EC7">
      <w:pPr>
        <w:spacing w:after="360"/>
        <w:jc w:val="center"/>
        <w:rPr>
          <w:b/>
          <w:sz w:val="40"/>
          <w:szCs w:val="40"/>
          <w:lang w:val="en-GB"/>
        </w:rPr>
      </w:pPr>
      <w:r w:rsidRPr="00674448">
        <w:rPr>
          <w:b/>
          <w:sz w:val="40"/>
          <w:szCs w:val="40"/>
          <w:lang w:val="en-GB"/>
        </w:rPr>
        <w:t>Conclusions</w:t>
      </w:r>
    </w:p>
    <w:p w:rsidR="005455B5" w:rsidRPr="00D75987" w:rsidRDefault="005F37B9" w:rsidP="005F37B9">
      <w:pPr>
        <w:jc w:val="both"/>
        <w:rPr>
          <w:sz w:val="24"/>
          <w:szCs w:val="24"/>
          <w:lang w:val="en-GB"/>
        </w:rPr>
      </w:pPr>
      <w:r w:rsidRPr="00D75987">
        <w:rPr>
          <w:sz w:val="24"/>
          <w:szCs w:val="24"/>
          <w:lang w:val="en-GB"/>
        </w:rPr>
        <w:t xml:space="preserve">The Regional Parliamentary Dialogue on </w:t>
      </w:r>
      <w:r w:rsidRPr="00D75987">
        <w:rPr>
          <w:i/>
          <w:sz w:val="24"/>
          <w:szCs w:val="24"/>
          <w:lang w:val="en-GB"/>
        </w:rPr>
        <w:t xml:space="preserve">Migration Management, Refugee Protection and the Fight against Organized Crime – National Responses and Regional Cooperation </w:t>
      </w:r>
      <w:r w:rsidRPr="00D75987">
        <w:rPr>
          <w:sz w:val="24"/>
          <w:szCs w:val="24"/>
          <w:lang w:val="en-GB"/>
        </w:rPr>
        <w:t xml:space="preserve">took place in Belgrade, </w:t>
      </w:r>
      <w:r w:rsidR="00973F16">
        <w:rPr>
          <w:sz w:val="24"/>
          <w:szCs w:val="24"/>
          <w:lang w:val="en-GB"/>
        </w:rPr>
        <w:t>on</w:t>
      </w:r>
      <w:r w:rsidRPr="00D75987">
        <w:rPr>
          <w:sz w:val="24"/>
          <w:szCs w:val="24"/>
          <w:lang w:val="en-GB"/>
        </w:rPr>
        <w:t xml:space="preserve"> </w:t>
      </w:r>
      <w:r w:rsidRPr="00D75987">
        <w:rPr>
          <w:lang w:val="en-GB"/>
        </w:rPr>
        <w:t>26</w:t>
      </w:r>
      <w:r w:rsidRPr="00D75987">
        <w:rPr>
          <w:vertAlign w:val="superscript"/>
          <w:lang w:val="en-GB"/>
        </w:rPr>
        <w:t>th</w:t>
      </w:r>
      <w:r w:rsidRPr="00D75987">
        <w:rPr>
          <w:lang w:val="en-GB"/>
        </w:rPr>
        <w:t xml:space="preserve"> </w:t>
      </w:r>
      <w:r w:rsidR="00973F16">
        <w:rPr>
          <w:lang w:val="en-GB"/>
        </w:rPr>
        <w:t>and</w:t>
      </w:r>
      <w:r w:rsidRPr="00D75987">
        <w:rPr>
          <w:lang w:val="en-GB"/>
        </w:rPr>
        <w:t xml:space="preserve"> 27</w:t>
      </w:r>
      <w:r w:rsidRPr="00D75987">
        <w:rPr>
          <w:vertAlign w:val="superscript"/>
          <w:lang w:val="en-GB"/>
        </w:rPr>
        <w:t>th</w:t>
      </w:r>
      <w:r w:rsidRPr="00D75987">
        <w:rPr>
          <w:lang w:val="en-GB"/>
        </w:rPr>
        <w:t xml:space="preserve"> November</w:t>
      </w:r>
      <w:r w:rsidRPr="00D75987">
        <w:rPr>
          <w:sz w:val="24"/>
          <w:szCs w:val="24"/>
          <w:lang w:val="en-GB"/>
        </w:rPr>
        <w:t xml:space="preserve"> 2015.  </w:t>
      </w:r>
      <w:r w:rsidR="005455B5" w:rsidRPr="00D75987">
        <w:rPr>
          <w:sz w:val="24"/>
          <w:szCs w:val="24"/>
          <w:lang w:val="en-GB"/>
        </w:rPr>
        <w:t>Attended by representatives of defence</w:t>
      </w:r>
      <w:r w:rsidR="00973F16">
        <w:rPr>
          <w:sz w:val="24"/>
          <w:szCs w:val="24"/>
          <w:lang w:val="en-GB"/>
        </w:rPr>
        <w:t xml:space="preserve">, </w:t>
      </w:r>
      <w:r w:rsidR="005455B5" w:rsidRPr="00D75987">
        <w:rPr>
          <w:sz w:val="24"/>
          <w:szCs w:val="24"/>
          <w:lang w:val="en-GB"/>
        </w:rPr>
        <w:t>s</w:t>
      </w:r>
      <w:r w:rsidRPr="00D75987">
        <w:rPr>
          <w:sz w:val="24"/>
          <w:szCs w:val="24"/>
          <w:lang w:val="en-GB"/>
        </w:rPr>
        <w:t xml:space="preserve">ecurity </w:t>
      </w:r>
      <w:r w:rsidR="00973F16">
        <w:rPr>
          <w:sz w:val="24"/>
          <w:szCs w:val="24"/>
          <w:lang w:val="en-GB"/>
        </w:rPr>
        <w:t xml:space="preserve">and foreign affairs </w:t>
      </w:r>
      <w:r w:rsidRPr="00D75987">
        <w:rPr>
          <w:sz w:val="24"/>
          <w:szCs w:val="24"/>
          <w:lang w:val="en-GB"/>
        </w:rPr>
        <w:t>committees</w:t>
      </w:r>
      <w:r w:rsidR="005455B5" w:rsidRPr="00D75987">
        <w:rPr>
          <w:sz w:val="24"/>
          <w:szCs w:val="24"/>
          <w:lang w:val="en-GB"/>
        </w:rPr>
        <w:t xml:space="preserve"> from </w:t>
      </w:r>
      <w:r w:rsidR="009F77ED">
        <w:rPr>
          <w:sz w:val="24"/>
          <w:szCs w:val="24"/>
          <w:lang w:val="en-GB"/>
        </w:rPr>
        <w:t>nine</w:t>
      </w:r>
      <w:r w:rsidR="00D75987" w:rsidRPr="00D75987">
        <w:rPr>
          <w:sz w:val="24"/>
          <w:szCs w:val="24"/>
          <w:lang w:val="en-GB"/>
        </w:rPr>
        <w:t xml:space="preserve"> </w:t>
      </w:r>
      <w:r w:rsidR="005455B5" w:rsidRPr="00D75987">
        <w:rPr>
          <w:sz w:val="24"/>
          <w:szCs w:val="24"/>
          <w:lang w:val="en-GB"/>
        </w:rPr>
        <w:t>parliaments across Southeast Europe</w:t>
      </w:r>
      <w:r w:rsidR="00973F16">
        <w:rPr>
          <w:sz w:val="24"/>
          <w:szCs w:val="24"/>
          <w:lang w:val="en-GB"/>
        </w:rPr>
        <w:t xml:space="preserve"> and partnership countries</w:t>
      </w:r>
      <w:r w:rsidRPr="00D75987">
        <w:rPr>
          <w:sz w:val="24"/>
          <w:szCs w:val="24"/>
          <w:lang w:val="en-GB"/>
        </w:rPr>
        <w:t xml:space="preserve">, </w:t>
      </w:r>
      <w:r w:rsidR="005455B5" w:rsidRPr="00D75987">
        <w:rPr>
          <w:sz w:val="24"/>
          <w:szCs w:val="24"/>
          <w:lang w:val="en-GB"/>
        </w:rPr>
        <w:t xml:space="preserve">the event </w:t>
      </w:r>
      <w:r w:rsidRPr="00D75987">
        <w:rPr>
          <w:sz w:val="24"/>
          <w:szCs w:val="24"/>
          <w:lang w:val="en-GB"/>
        </w:rPr>
        <w:t xml:space="preserve">was </w:t>
      </w:r>
      <w:r w:rsidR="00A11B13" w:rsidRPr="00D75987">
        <w:rPr>
          <w:sz w:val="24"/>
          <w:szCs w:val="24"/>
          <w:lang w:val="en-GB"/>
        </w:rPr>
        <w:t>co-organized</w:t>
      </w:r>
      <w:r w:rsidRPr="00D75987">
        <w:rPr>
          <w:sz w:val="24"/>
          <w:szCs w:val="24"/>
          <w:lang w:val="en-GB"/>
        </w:rPr>
        <w:t xml:space="preserve"> by </w:t>
      </w:r>
      <w:r w:rsidR="00787AAE" w:rsidRPr="00D75987">
        <w:rPr>
          <w:sz w:val="24"/>
          <w:szCs w:val="24"/>
          <w:lang w:val="en-GB"/>
        </w:rPr>
        <w:t xml:space="preserve">the Defence and Internal Affairs Committee of </w:t>
      </w:r>
      <w:r w:rsidRPr="00D75987">
        <w:rPr>
          <w:sz w:val="24"/>
          <w:szCs w:val="24"/>
          <w:lang w:val="en-GB"/>
        </w:rPr>
        <w:t>the National Ass</w:t>
      </w:r>
      <w:r w:rsidR="00A11B13" w:rsidRPr="00D75987">
        <w:rPr>
          <w:sz w:val="24"/>
          <w:szCs w:val="24"/>
          <w:lang w:val="en-GB"/>
        </w:rPr>
        <w:t>embly of the Republic of Serbia</w:t>
      </w:r>
      <w:r w:rsidRPr="00D75987">
        <w:rPr>
          <w:sz w:val="24"/>
          <w:szCs w:val="24"/>
          <w:lang w:val="en-GB"/>
        </w:rPr>
        <w:t xml:space="preserve"> and the Geneva Centre for the Democratic Control of Armed Forces (DCAF)</w:t>
      </w:r>
      <w:r w:rsidR="005455B5" w:rsidRPr="00D75987">
        <w:rPr>
          <w:sz w:val="24"/>
          <w:szCs w:val="24"/>
          <w:lang w:val="en-GB"/>
        </w:rPr>
        <w:t xml:space="preserve">. </w:t>
      </w:r>
      <w:r w:rsidR="00A11B13" w:rsidRPr="00D75987">
        <w:rPr>
          <w:sz w:val="24"/>
          <w:szCs w:val="24"/>
          <w:lang w:val="en-GB"/>
        </w:rPr>
        <w:t xml:space="preserve"> </w:t>
      </w:r>
    </w:p>
    <w:p w:rsidR="00BF45D7" w:rsidRDefault="00C00559" w:rsidP="00BF45D7">
      <w:pPr>
        <w:jc w:val="both"/>
        <w:rPr>
          <w:sz w:val="24"/>
          <w:szCs w:val="24"/>
          <w:lang w:val="en-GB"/>
        </w:rPr>
      </w:pPr>
      <w:r w:rsidRPr="00D56073">
        <w:rPr>
          <w:sz w:val="24"/>
          <w:szCs w:val="24"/>
          <w:lang w:val="en-GB"/>
        </w:rPr>
        <w:t>Having in mind that the current s</w:t>
      </w:r>
      <w:r w:rsidR="00572756" w:rsidRPr="00D56073">
        <w:rPr>
          <w:sz w:val="24"/>
          <w:szCs w:val="24"/>
          <w:lang w:val="en-GB"/>
        </w:rPr>
        <w:t>hifting migration and asylum dynamics</w:t>
      </w:r>
      <w:r w:rsidRPr="00D56073">
        <w:rPr>
          <w:sz w:val="24"/>
          <w:szCs w:val="24"/>
          <w:lang w:val="en-GB"/>
        </w:rPr>
        <w:t xml:space="preserve"> </w:t>
      </w:r>
      <w:r w:rsidR="00D56073" w:rsidRPr="00D56073">
        <w:rPr>
          <w:sz w:val="24"/>
          <w:szCs w:val="24"/>
          <w:lang w:val="en-GB"/>
        </w:rPr>
        <w:t xml:space="preserve">bring about challenges </w:t>
      </w:r>
      <w:r w:rsidR="00572756" w:rsidRPr="00D56073">
        <w:rPr>
          <w:sz w:val="24"/>
          <w:szCs w:val="24"/>
          <w:lang w:val="en-GB"/>
        </w:rPr>
        <w:t xml:space="preserve">that cannot be dealt with by individual countries, </w:t>
      </w:r>
      <w:r w:rsidRPr="00D56073">
        <w:rPr>
          <w:sz w:val="24"/>
          <w:szCs w:val="24"/>
          <w:lang w:val="en-GB"/>
        </w:rPr>
        <w:t xml:space="preserve">the organisers have </w:t>
      </w:r>
      <w:r w:rsidR="00D56073">
        <w:rPr>
          <w:sz w:val="24"/>
          <w:szCs w:val="24"/>
          <w:lang w:val="en-GB"/>
        </w:rPr>
        <w:t xml:space="preserve">proposed </w:t>
      </w:r>
      <w:r w:rsidRPr="00D56073">
        <w:rPr>
          <w:sz w:val="24"/>
          <w:szCs w:val="24"/>
          <w:lang w:val="en-GB"/>
        </w:rPr>
        <w:t xml:space="preserve">members of parliament a platform for discussing national and regional approaches to the refugee crises, in the search of a cooperative approach on how best to </w:t>
      </w:r>
      <w:r w:rsidR="00D56073" w:rsidRPr="00D56073">
        <w:rPr>
          <w:sz w:val="24"/>
          <w:szCs w:val="24"/>
          <w:lang w:val="en-GB"/>
        </w:rPr>
        <w:t xml:space="preserve">tackle recent developments, while </w:t>
      </w:r>
      <w:r w:rsidRPr="00D56073">
        <w:rPr>
          <w:sz w:val="24"/>
          <w:szCs w:val="24"/>
          <w:lang w:val="en-GB"/>
        </w:rPr>
        <w:t>using processes and initiatives already in place.</w:t>
      </w:r>
      <w:r w:rsidR="00D56073" w:rsidRPr="00D56073">
        <w:rPr>
          <w:sz w:val="24"/>
          <w:szCs w:val="24"/>
          <w:lang w:val="en-GB"/>
        </w:rPr>
        <w:t xml:space="preserve"> </w:t>
      </w:r>
    </w:p>
    <w:p w:rsidR="00D56073" w:rsidRPr="00D56073" w:rsidRDefault="00D56073" w:rsidP="00973F16">
      <w:pPr>
        <w:spacing w:after="0"/>
        <w:jc w:val="both"/>
        <w:rPr>
          <w:sz w:val="24"/>
          <w:szCs w:val="24"/>
          <w:lang w:val="en-GB"/>
        </w:rPr>
      </w:pPr>
      <w:r w:rsidRPr="00D56073">
        <w:rPr>
          <w:sz w:val="24"/>
          <w:szCs w:val="24"/>
          <w:lang w:val="en-GB"/>
        </w:rPr>
        <w:t xml:space="preserve">The main objectives of this dialogue have been to: </w:t>
      </w:r>
      <w:bookmarkStart w:id="0" w:name="_GoBack"/>
      <w:bookmarkEnd w:id="0"/>
    </w:p>
    <w:p w:rsidR="00572756" w:rsidRPr="00D56073" w:rsidRDefault="00572756" w:rsidP="00E06986">
      <w:pPr>
        <w:pStyle w:val="ListParagraph"/>
        <w:numPr>
          <w:ilvl w:val="0"/>
          <w:numId w:val="9"/>
        </w:numPr>
        <w:spacing w:after="0"/>
        <w:ind w:right="282"/>
        <w:contextualSpacing w:val="0"/>
        <w:jc w:val="both"/>
        <w:rPr>
          <w:rFonts w:cs="Tahoma"/>
          <w:iCs/>
          <w:sz w:val="24"/>
          <w:szCs w:val="24"/>
          <w:lang w:val="en-GB"/>
        </w:rPr>
      </w:pPr>
      <w:r w:rsidRPr="00D56073">
        <w:rPr>
          <w:rFonts w:cs="Tahoma"/>
          <w:iCs/>
          <w:sz w:val="24"/>
          <w:szCs w:val="24"/>
          <w:lang w:val="en-GB"/>
        </w:rPr>
        <w:t xml:space="preserve">Raise awareness of </w:t>
      </w:r>
      <w:r w:rsidR="00D56073" w:rsidRPr="00D56073">
        <w:rPr>
          <w:sz w:val="24"/>
          <w:szCs w:val="24"/>
          <w:lang w:val="en-GB"/>
        </w:rPr>
        <w:t>existing</w:t>
      </w:r>
      <w:r w:rsidR="00D56073" w:rsidRPr="00D56073">
        <w:rPr>
          <w:rFonts w:cs="Tahoma"/>
          <w:iCs/>
          <w:sz w:val="24"/>
          <w:szCs w:val="24"/>
          <w:lang w:val="en-GB"/>
        </w:rPr>
        <w:t xml:space="preserve"> </w:t>
      </w:r>
      <w:r w:rsidRPr="00D56073">
        <w:rPr>
          <w:rFonts w:cs="Tahoma"/>
          <w:iCs/>
          <w:sz w:val="24"/>
          <w:szCs w:val="24"/>
          <w:lang w:val="en-GB"/>
        </w:rPr>
        <w:t>mechanisms to manage</w:t>
      </w:r>
      <w:r w:rsidR="00D56073" w:rsidRPr="00D56073">
        <w:rPr>
          <w:rFonts w:cs="Tahoma"/>
          <w:iCs/>
          <w:sz w:val="24"/>
          <w:szCs w:val="24"/>
          <w:lang w:val="en-GB"/>
        </w:rPr>
        <w:t xml:space="preserve"> and </w:t>
      </w:r>
      <w:r w:rsidRPr="00D56073">
        <w:rPr>
          <w:rFonts w:cs="Tahoma"/>
          <w:iCs/>
          <w:sz w:val="24"/>
          <w:szCs w:val="24"/>
          <w:lang w:val="en-GB"/>
        </w:rPr>
        <w:t xml:space="preserve">secure borders and to fight organized crime groups and provide a platform for informed debates on options to further strengthen </w:t>
      </w:r>
      <w:r w:rsidR="00D56073" w:rsidRPr="00D56073">
        <w:rPr>
          <w:rFonts w:cs="Tahoma"/>
          <w:iCs/>
          <w:sz w:val="24"/>
          <w:szCs w:val="24"/>
          <w:lang w:val="en-GB"/>
        </w:rPr>
        <w:t xml:space="preserve">these mechanisms </w:t>
      </w:r>
      <w:r w:rsidRPr="00D56073">
        <w:rPr>
          <w:rFonts w:cs="Tahoma"/>
          <w:iCs/>
          <w:sz w:val="24"/>
          <w:szCs w:val="24"/>
          <w:lang w:val="en-GB"/>
        </w:rPr>
        <w:t>at national and regional levels.</w:t>
      </w:r>
    </w:p>
    <w:p w:rsidR="00572756" w:rsidRPr="00D56073" w:rsidRDefault="00572756" w:rsidP="00E06986">
      <w:pPr>
        <w:pStyle w:val="ListParagraph"/>
        <w:numPr>
          <w:ilvl w:val="0"/>
          <w:numId w:val="9"/>
        </w:numPr>
        <w:spacing w:after="0"/>
        <w:ind w:right="282"/>
        <w:contextualSpacing w:val="0"/>
        <w:jc w:val="both"/>
        <w:rPr>
          <w:rFonts w:cs="Tahoma"/>
          <w:iCs/>
          <w:sz w:val="24"/>
          <w:szCs w:val="24"/>
          <w:lang w:val="en-GB"/>
        </w:rPr>
      </w:pPr>
      <w:r w:rsidRPr="00D56073">
        <w:rPr>
          <w:rFonts w:cs="Tahoma"/>
          <w:iCs/>
          <w:sz w:val="24"/>
          <w:szCs w:val="24"/>
          <w:lang w:val="en-GB"/>
        </w:rPr>
        <w:t>Discuss the way ahead in implementing national approaches to the crisis by highlighting the coordination of relevant governmental a</w:t>
      </w:r>
      <w:r w:rsidR="00D56073" w:rsidRPr="00D56073">
        <w:rPr>
          <w:rFonts w:cs="Tahoma"/>
          <w:iCs/>
          <w:sz w:val="24"/>
          <w:szCs w:val="24"/>
          <w:lang w:val="en-GB"/>
        </w:rPr>
        <w:t>nd security sector institutions.</w:t>
      </w:r>
    </w:p>
    <w:p w:rsidR="00572756" w:rsidRPr="00D56073" w:rsidRDefault="00572756" w:rsidP="00E06986">
      <w:pPr>
        <w:pStyle w:val="ListParagraph"/>
        <w:numPr>
          <w:ilvl w:val="0"/>
          <w:numId w:val="9"/>
        </w:numPr>
        <w:spacing w:after="0"/>
        <w:ind w:right="282"/>
        <w:contextualSpacing w:val="0"/>
        <w:jc w:val="both"/>
        <w:rPr>
          <w:rFonts w:cs="Tahoma"/>
          <w:iCs/>
          <w:sz w:val="24"/>
          <w:szCs w:val="24"/>
          <w:lang w:val="en-GB"/>
        </w:rPr>
      </w:pPr>
      <w:r w:rsidRPr="00D56073">
        <w:rPr>
          <w:rFonts w:cs="Tahoma"/>
          <w:iCs/>
          <w:sz w:val="24"/>
          <w:szCs w:val="24"/>
          <w:lang w:val="en-GB"/>
        </w:rPr>
        <w:t xml:space="preserve">Discuss options for a coordinated regional response that complements and reinforces national strategies. </w:t>
      </w:r>
    </w:p>
    <w:p w:rsidR="00572756" w:rsidRPr="00D56073" w:rsidRDefault="00572756" w:rsidP="00674448">
      <w:pPr>
        <w:pStyle w:val="ListParagraph"/>
        <w:numPr>
          <w:ilvl w:val="0"/>
          <w:numId w:val="9"/>
        </w:numPr>
        <w:spacing w:after="720"/>
        <w:ind w:right="282"/>
        <w:contextualSpacing w:val="0"/>
        <w:jc w:val="both"/>
        <w:rPr>
          <w:rFonts w:cs="Tahoma"/>
          <w:iCs/>
          <w:sz w:val="24"/>
          <w:szCs w:val="24"/>
          <w:lang w:val="en-GB"/>
        </w:rPr>
      </w:pPr>
      <w:r w:rsidRPr="00D56073">
        <w:rPr>
          <w:rFonts w:cs="Tahoma"/>
          <w:iCs/>
          <w:sz w:val="24"/>
          <w:szCs w:val="24"/>
          <w:lang w:val="en-GB"/>
        </w:rPr>
        <w:t xml:space="preserve">Provide a platform for dialogue on potential policy-responses. </w:t>
      </w:r>
    </w:p>
    <w:p w:rsidR="002B4433" w:rsidRDefault="002B4433" w:rsidP="00E06986">
      <w:pPr>
        <w:jc w:val="both"/>
        <w:rPr>
          <w:sz w:val="24"/>
          <w:szCs w:val="24"/>
          <w:lang w:val="en-GB"/>
        </w:rPr>
      </w:pPr>
      <w:r w:rsidRPr="00D56073">
        <w:rPr>
          <w:sz w:val="24"/>
          <w:szCs w:val="24"/>
          <w:lang w:val="en-GB"/>
        </w:rPr>
        <w:lastRenderedPageBreak/>
        <w:t>As a conclusion to the discussio</w:t>
      </w:r>
      <w:r w:rsidR="002A1FA1">
        <w:rPr>
          <w:sz w:val="24"/>
          <w:szCs w:val="24"/>
          <w:lang w:val="en-GB"/>
        </w:rPr>
        <w:t>ns held during this event, the p</w:t>
      </w:r>
      <w:r w:rsidRPr="00D56073">
        <w:rPr>
          <w:sz w:val="24"/>
          <w:szCs w:val="24"/>
          <w:lang w:val="en-GB"/>
        </w:rPr>
        <w:t xml:space="preserve">articipants have agreed to adopt the present </w:t>
      </w:r>
      <w:r w:rsidR="002A1FA1">
        <w:rPr>
          <w:sz w:val="24"/>
          <w:szCs w:val="24"/>
          <w:lang w:val="en-GB"/>
        </w:rPr>
        <w:t xml:space="preserve">Conclusion. </w:t>
      </w:r>
      <w:r w:rsidRPr="00D56073">
        <w:rPr>
          <w:sz w:val="24"/>
          <w:szCs w:val="24"/>
          <w:lang w:val="en-GB"/>
        </w:rPr>
        <w:t xml:space="preserve"> </w:t>
      </w:r>
    </w:p>
    <w:p w:rsidR="005F37B9" w:rsidRPr="00D75987" w:rsidRDefault="005F37B9" w:rsidP="00973F16">
      <w:pPr>
        <w:spacing w:after="120" w:line="259" w:lineRule="auto"/>
        <w:ind w:firstLine="708"/>
        <w:jc w:val="both"/>
        <w:rPr>
          <w:i/>
          <w:sz w:val="24"/>
          <w:lang w:val="en-GB"/>
        </w:rPr>
      </w:pPr>
      <w:r w:rsidRPr="00D75987">
        <w:rPr>
          <w:i/>
          <w:sz w:val="24"/>
          <w:lang w:val="en-GB"/>
        </w:rPr>
        <w:t xml:space="preserve">Conference participants </w:t>
      </w:r>
      <w:r w:rsidR="00971B0E" w:rsidRPr="00D75987">
        <w:rPr>
          <w:i/>
          <w:sz w:val="24"/>
          <w:lang w:val="en-GB"/>
        </w:rPr>
        <w:t xml:space="preserve">agree to consider encouraging governments in the region to </w:t>
      </w:r>
      <w:r w:rsidR="00971B0E">
        <w:rPr>
          <w:i/>
          <w:sz w:val="24"/>
          <w:lang w:val="en-GB"/>
        </w:rPr>
        <w:t xml:space="preserve">work together in partnership </w:t>
      </w:r>
      <w:r w:rsidR="00971B0E" w:rsidRPr="00971B0E">
        <w:rPr>
          <w:i/>
          <w:sz w:val="24"/>
          <w:lang w:val="en-GB"/>
        </w:rPr>
        <w:t>to find common solutions to challenges of mutual interest</w:t>
      </w:r>
      <w:r w:rsidR="00AA15B0">
        <w:rPr>
          <w:i/>
          <w:sz w:val="24"/>
          <w:lang w:val="en-GB"/>
        </w:rPr>
        <w:t xml:space="preserve">, and </w:t>
      </w:r>
      <w:r w:rsidR="00971B0E" w:rsidRPr="00D75987">
        <w:rPr>
          <w:i/>
          <w:sz w:val="24"/>
          <w:lang w:val="en-GB"/>
        </w:rPr>
        <w:t>take concrete steps for the completion</w:t>
      </w:r>
      <w:r w:rsidR="00AA15B0">
        <w:rPr>
          <w:i/>
          <w:sz w:val="24"/>
          <w:lang w:val="en-GB"/>
        </w:rPr>
        <w:t xml:space="preserve"> </w:t>
      </w:r>
      <w:r w:rsidRPr="00D75987">
        <w:rPr>
          <w:i/>
          <w:sz w:val="24"/>
          <w:lang w:val="en-GB"/>
        </w:rPr>
        <w:t xml:space="preserve">of the following </w:t>
      </w:r>
      <w:r w:rsidR="007127EB" w:rsidRPr="006C7956">
        <w:rPr>
          <w:i/>
          <w:sz w:val="24"/>
          <w:lang w:val="en-GB"/>
        </w:rPr>
        <w:t>processes</w:t>
      </w:r>
      <w:r w:rsidRPr="006C7956">
        <w:rPr>
          <w:i/>
          <w:sz w:val="24"/>
          <w:lang w:val="en-GB"/>
        </w:rPr>
        <w:t xml:space="preserve"> or measures:</w:t>
      </w:r>
    </w:p>
    <w:p w:rsidR="00572756" w:rsidRDefault="00572756" w:rsidP="00973F16">
      <w:pPr>
        <w:pStyle w:val="ListParagraph"/>
        <w:numPr>
          <w:ilvl w:val="0"/>
          <w:numId w:val="7"/>
        </w:numPr>
        <w:spacing w:after="360"/>
        <w:ind w:left="0" w:firstLine="709"/>
        <w:jc w:val="both"/>
        <w:rPr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Maintain</w:t>
      </w:r>
      <w:r w:rsidR="002F12BC">
        <w:rPr>
          <w:sz w:val="24"/>
          <w:szCs w:val="24"/>
          <w:lang w:val="en-GB"/>
        </w:rPr>
        <w:t xml:space="preserve"> </w:t>
      </w:r>
      <w:r w:rsidRPr="002F12BC">
        <w:rPr>
          <w:sz w:val="24"/>
          <w:szCs w:val="24"/>
          <w:lang w:val="en-GB"/>
        </w:rPr>
        <w:t xml:space="preserve">political dialogue </w:t>
      </w:r>
      <w:r w:rsidR="00664661" w:rsidRPr="002F12BC">
        <w:rPr>
          <w:sz w:val="24"/>
          <w:szCs w:val="24"/>
          <w:lang w:val="en-GB"/>
        </w:rPr>
        <w:t xml:space="preserve">and </w:t>
      </w:r>
      <w:r w:rsidRPr="00973F16">
        <w:rPr>
          <w:sz w:val="24"/>
          <w:szCs w:val="24"/>
          <w:lang w:val="en-GB"/>
        </w:rPr>
        <w:t>promote</w:t>
      </w:r>
      <w:r w:rsidRPr="002F12BC">
        <w:rPr>
          <w:sz w:val="24"/>
          <w:szCs w:val="24"/>
          <w:lang w:val="en-GB"/>
        </w:rPr>
        <w:t xml:space="preserve"> mechanisms</w:t>
      </w:r>
      <w:r w:rsidRPr="002F12BC">
        <w:rPr>
          <w:i/>
          <w:sz w:val="24"/>
          <w:szCs w:val="24"/>
          <w:lang w:val="en-GB"/>
        </w:rPr>
        <w:t xml:space="preserve"> </w:t>
      </w:r>
      <w:r w:rsidRPr="002F12BC">
        <w:rPr>
          <w:sz w:val="24"/>
          <w:szCs w:val="24"/>
          <w:lang w:val="en-GB"/>
        </w:rPr>
        <w:t xml:space="preserve">for technical exchange of information and operational cooperation in dealing with </w:t>
      </w:r>
      <w:r>
        <w:rPr>
          <w:sz w:val="24"/>
          <w:szCs w:val="24"/>
          <w:lang w:val="en-GB"/>
        </w:rPr>
        <w:t>current migr</w:t>
      </w:r>
      <w:r w:rsidR="00973F16">
        <w:rPr>
          <w:sz w:val="24"/>
          <w:szCs w:val="24"/>
          <w:lang w:val="en-GB"/>
        </w:rPr>
        <w:t>ation challenges in the region.</w:t>
      </w:r>
    </w:p>
    <w:p w:rsidR="005F37B9" w:rsidRDefault="00664661" w:rsidP="00973F16">
      <w:pPr>
        <w:pStyle w:val="ListParagraph"/>
        <w:numPr>
          <w:ilvl w:val="0"/>
          <w:numId w:val="7"/>
        </w:numPr>
        <w:spacing w:before="120" w:after="240"/>
        <w:ind w:left="0" w:firstLine="709"/>
        <w:jc w:val="both"/>
        <w:rPr>
          <w:sz w:val="24"/>
          <w:szCs w:val="24"/>
          <w:lang w:val="en-GB"/>
        </w:rPr>
      </w:pPr>
      <w:r w:rsidRPr="002F12BC">
        <w:rPr>
          <w:i/>
          <w:sz w:val="24"/>
          <w:szCs w:val="24"/>
          <w:lang w:val="en-GB"/>
        </w:rPr>
        <w:t>Coordinat</w:t>
      </w:r>
      <w:r w:rsidR="00C12023" w:rsidRPr="002F12BC">
        <w:rPr>
          <w:i/>
          <w:sz w:val="24"/>
          <w:szCs w:val="24"/>
          <w:lang w:val="en-GB"/>
        </w:rPr>
        <w:t>e</w:t>
      </w:r>
      <w:r w:rsidRPr="002F12BC">
        <w:rPr>
          <w:i/>
          <w:sz w:val="24"/>
          <w:szCs w:val="24"/>
          <w:lang w:val="en-GB"/>
        </w:rPr>
        <w:t xml:space="preserve"> </w:t>
      </w:r>
      <w:r w:rsidR="002F12BC" w:rsidRPr="002F12BC">
        <w:rPr>
          <w:sz w:val="24"/>
          <w:szCs w:val="24"/>
          <w:lang w:val="en-GB"/>
        </w:rPr>
        <w:t xml:space="preserve">the </w:t>
      </w:r>
      <w:r w:rsidR="00356DCC" w:rsidRPr="002F12BC">
        <w:rPr>
          <w:sz w:val="24"/>
          <w:szCs w:val="24"/>
          <w:lang w:val="en-GB"/>
        </w:rPr>
        <w:t>national responses in</w:t>
      </w:r>
      <w:r w:rsidRPr="002F12BC">
        <w:rPr>
          <w:sz w:val="24"/>
          <w:szCs w:val="24"/>
          <w:lang w:val="en-GB"/>
        </w:rPr>
        <w:t xml:space="preserve"> dealing with the refugee crisis in </w:t>
      </w:r>
      <w:r w:rsidR="00356DCC" w:rsidRPr="002F12BC">
        <w:rPr>
          <w:sz w:val="24"/>
          <w:szCs w:val="24"/>
          <w:lang w:val="en-GB"/>
        </w:rPr>
        <w:t xml:space="preserve">Southeast Europe, </w:t>
      </w:r>
      <w:r w:rsidRPr="002F12BC">
        <w:rPr>
          <w:sz w:val="24"/>
          <w:szCs w:val="24"/>
          <w:lang w:val="en-GB"/>
        </w:rPr>
        <w:t>building</w:t>
      </w:r>
      <w:r w:rsidR="004960CE" w:rsidRPr="002F12BC">
        <w:rPr>
          <w:sz w:val="24"/>
          <w:szCs w:val="24"/>
          <w:lang w:val="en-GB"/>
        </w:rPr>
        <w:t xml:space="preserve"> on</w:t>
      </w:r>
      <w:r w:rsidRPr="002F12BC">
        <w:rPr>
          <w:sz w:val="24"/>
          <w:szCs w:val="24"/>
          <w:lang w:val="en-GB"/>
        </w:rPr>
        <w:t xml:space="preserve"> </w:t>
      </w:r>
      <w:r w:rsidR="00356DCC" w:rsidRPr="002F12BC">
        <w:rPr>
          <w:sz w:val="24"/>
          <w:szCs w:val="24"/>
          <w:lang w:val="en-GB"/>
        </w:rPr>
        <w:t xml:space="preserve">lessons learned from different </w:t>
      </w:r>
      <w:r w:rsidRPr="002F12BC">
        <w:rPr>
          <w:sz w:val="24"/>
          <w:szCs w:val="24"/>
          <w:lang w:val="en-GB"/>
        </w:rPr>
        <w:t>national approaches</w:t>
      </w:r>
      <w:r w:rsidR="00716332" w:rsidRPr="002F12BC">
        <w:rPr>
          <w:sz w:val="24"/>
          <w:szCs w:val="24"/>
          <w:lang w:val="en-GB"/>
        </w:rPr>
        <w:t>.</w:t>
      </w:r>
    </w:p>
    <w:p w:rsidR="00C00559" w:rsidRDefault="00C00559" w:rsidP="00973F16">
      <w:pPr>
        <w:pStyle w:val="ListParagraph"/>
        <w:numPr>
          <w:ilvl w:val="0"/>
          <w:numId w:val="7"/>
        </w:numPr>
        <w:spacing w:after="240"/>
        <w:ind w:left="0" w:firstLine="709"/>
        <w:jc w:val="both"/>
        <w:rPr>
          <w:sz w:val="24"/>
          <w:szCs w:val="24"/>
          <w:lang w:val="en-GB"/>
        </w:rPr>
      </w:pPr>
      <w:r w:rsidRPr="002F12BC">
        <w:rPr>
          <w:i/>
          <w:sz w:val="24"/>
          <w:szCs w:val="24"/>
          <w:lang w:val="en-GB"/>
        </w:rPr>
        <w:t xml:space="preserve">Identify </w:t>
      </w:r>
      <w:r w:rsidRPr="002F12BC">
        <w:rPr>
          <w:sz w:val="24"/>
          <w:szCs w:val="24"/>
          <w:lang w:val="en-GB"/>
        </w:rPr>
        <w:t xml:space="preserve">gaps and existing or potential problems </w:t>
      </w:r>
      <w:r>
        <w:rPr>
          <w:sz w:val="24"/>
          <w:szCs w:val="24"/>
          <w:lang w:val="en-GB"/>
        </w:rPr>
        <w:t xml:space="preserve">in managing borders and </w:t>
      </w:r>
      <w:r w:rsidRPr="002F12BC">
        <w:rPr>
          <w:sz w:val="24"/>
          <w:szCs w:val="24"/>
          <w:lang w:val="en-GB"/>
        </w:rPr>
        <w:t>implement</w:t>
      </w:r>
      <w:r>
        <w:rPr>
          <w:sz w:val="24"/>
          <w:szCs w:val="24"/>
          <w:lang w:val="en-GB"/>
        </w:rPr>
        <w:t xml:space="preserve">ing </w:t>
      </w:r>
      <w:r w:rsidRPr="002F12BC">
        <w:rPr>
          <w:sz w:val="24"/>
          <w:szCs w:val="24"/>
          <w:lang w:val="en-GB"/>
        </w:rPr>
        <w:t>policies to address migration and refugees.</w:t>
      </w:r>
    </w:p>
    <w:p w:rsidR="002F12BC" w:rsidRPr="002F12BC" w:rsidRDefault="00356DCC" w:rsidP="00973F16">
      <w:pPr>
        <w:pStyle w:val="ListParagraph"/>
        <w:numPr>
          <w:ilvl w:val="0"/>
          <w:numId w:val="7"/>
        </w:numPr>
        <w:spacing w:after="240"/>
        <w:ind w:left="0" w:firstLine="709"/>
        <w:jc w:val="both"/>
        <w:rPr>
          <w:sz w:val="24"/>
          <w:szCs w:val="24"/>
          <w:lang w:val="en-GB"/>
        </w:rPr>
      </w:pPr>
      <w:r w:rsidRPr="002F12BC">
        <w:rPr>
          <w:i/>
          <w:sz w:val="24"/>
          <w:szCs w:val="24"/>
          <w:lang w:val="en-GB"/>
        </w:rPr>
        <w:t xml:space="preserve">Foster </w:t>
      </w:r>
      <w:r w:rsidRPr="002F12BC">
        <w:rPr>
          <w:sz w:val="24"/>
          <w:szCs w:val="24"/>
          <w:lang w:val="en-GB"/>
        </w:rPr>
        <w:t>regional c</w:t>
      </w:r>
      <w:r w:rsidR="005F37B9" w:rsidRPr="002F12BC">
        <w:rPr>
          <w:sz w:val="24"/>
          <w:szCs w:val="24"/>
          <w:lang w:val="en-GB"/>
        </w:rPr>
        <w:t>ooperati</w:t>
      </w:r>
      <w:r w:rsidRPr="002F12BC">
        <w:rPr>
          <w:sz w:val="24"/>
          <w:szCs w:val="24"/>
          <w:lang w:val="en-GB"/>
        </w:rPr>
        <w:t>on of law enforcement agencies in fighting trans-border organised crime, based on processes and initiatives already in place</w:t>
      </w:r>
      <w:r w:rsidR="00716332" w:rsidRPr="002F12BC">
        <w:rPr>
          <w:sz w:val="24"/>
          <w:szCs w:val="24"/>
          <w:lang w:val="en-GB"/>
        </w:rPr>
        <w:t>.</w:t>
      </w:r>
      <w:r w:rsidR="00572756">
        <w:rPr>
          <w:sz w:val="24"/>
          <w:szCs w:val="24"/>
          <w:lang w:val="en-GB"/>
        </w:rPr>
        <w:t xml:space="preserve"> </w:t>
      </w:r>
    </w:p>
    <w:p w:rsidR="00572756" w:rsidRDefault="00572756" w:rsidP="00973F16">
      <w:pPr>
        <w:pStyle w:val="ListParagraph"/>
        <w:numPr>
          <w:ilvl w:val="0"/>
          <w:numId w:val="7"/>
        </w:numPr>
        <w:spacing w:after="240"/>
        <w:ind w:left="0" w:firstLine="709"/>
        <w:jc w:val="both"/>
        <w:rPr>
          <w:sz w:val="24"/>
          <w:szCs w:val="24"/>
          <w:lang w:val="en-GB"/>
        </w:rPr>
      </w:pPr>
      <w:r w:rsidRPr="002F12BC">
        <w:rPr>
          <w:i/>
          <w:sz w:val="24"/>
          <w:szCs w:val="24"/>
          <w:lang w:val="en-GB"/>
        </w:rPr>
        <w:t>Take steps</w:t>
      </w:r>
      <w:r w:rsidRPr="002F12BC">
        <w:rPr>
          <w:sz w:val="24"/>
          <w:szCs w:val="24"/>
          <w:lang w:val="en-GB"/>
        </w:rPr>
        <w:t xml:space="preserve"> to reinforce the protection of </w:t>
      </w:r>
      <w:r>
        <w:rPr>
          <w:sz w:val="24"/>
          <w:szCs w:val="24"/>
          <w:lang w:val="en-GB"/>
        </w:rPr>
        <w:t xml:space="preserve">refugees </w:t>
      </w:r>
      <w:r w:rsidRPr="002F12BC">
        <w:rPr>
          <w:sz w:val="24"/>
          <w:szCs w:val="24"/>
          <w:lang w:val="en-GB"/>
        </w:rPr>
        <w:t>and asylum seekers</w:t>
      </w:r>
      <w:r w:rsidR="00B83336">
        <w:rPr>
          <w:sz w:val="24"/>
          <w:szCs w:val="24"/>
          <w:lang w:val="en-GB"/>
        </w:rPr>
        <w:t xml:space="preserve">, </w:t>
      </w:r>
      <w:r w:rsidR="00C00559">
        <w:rPr>
          <w:sz w:val="24"/>
          <w:szCs w:val="24"/>
          <w:lang w:val="en-GB"/>
        </w:rPr>
        <w:t>while paying special</w:t>
      </w:r>
      <w:r w:rsidR="00B83336">
        <w:rPr>
          <w:sz w:val="24"/>
          <w:szCs w:val="24"/>
          <w:lang w:val="en-GB"/>
        </w:rPr>
        <w:t xml:space="preserve"> attention to enhancing the security of those groups vulnerable to human trafficking, smuggling and organised criminal activities. </w:t>
      </w:r>
      <w:r>
        <w:rPr>
          <w:sz w:val="24"/>
          <w:szCs w:val="24"/>
          <w:lang w:val="en-GB"/>
        </w:rPr>
        <w:t xml:space="preserve"> </w:t>
      </w:r>
    </w:p>
    <w:p w:rsidR="002F12BC" w:rsidRDefault="00C12023" w:rsidP="00973F16">
      <w:pPr>
        <w:pStyle w:val="ListParagraph"/>
        <w:numPr>
          <w:ilvl w:val="0"/>
          <w:numId w:val="7"/>
        </w:numPr>
        <w:spacing w:before="480" w:after="0"/>
        <w:ind w:left="0" w:firstLine="709"/>
        <w:jc w:val="both"/>
        <w:rPr>
          <w:sz w:val="24"/>
          <w:szCs w:val="24"/>
          <w:lang w:val="en-GB"/>
        </w:rPr>
      </w:pPr>
      <w:r w:rsidRPr="002F12BC">
        <w:rPr>
          <w:i/>
          <w:sz w:val="24"/>
          <w:szCs w:val="24"/>
          <w:lang w:val="en-GB"/>
        </w:rPr>
        <w:t>Facilitate</w:t>
      </w:r>
      <w:r w:rsidRPr="002F12BC">
        <w:rPr>
          <w:sz w:val="24"/>
          <w:szCs w:val="24"/>
          <w:lang w:val="en-GB"/>
        </w:rPr>
        <w:t xml:space="preserve"> regional cooperation of non-governmental organisations active in the field of </w:t>
      </w:r>
      <w:r w:rsidR="00C00559">
        <w:rPr>
          <w:sz w:val="24"/>
          <w:szCs w:val="24"/>
          <w:lang w:val="en-GB"/>
        </w:rPr>
        <w:t>refugees and asylum seekers relief.</w:t>
      </w:r>
    </w:p>
    <w:p w:rsidR="002F12BC" w:rsidRPr="002F12BC" w:rsidRDefault="002F12BC" w:rsidP="002F12BC">
      <w:pPr>
        <w:pStyle w:val="ListParagraph"/>
        <w:rPr>
          <w:sz w:val="24"/>
          <w:szCs w:val="24"/>
          <w:lang w:val="en-GB"/>
        </w:rPr>
      </w:pPr>
    </w:p>
    <w:p w:rsidR="002F12BC" w:rsidRPr="002F12BC" w:rsidRDefault="002F12BC" w:rsidP="002F12BC">
      <w:pPr>
        <w:ind w:left="720"/>
        <w:contextualSpacing/>
        <w:rPr>
          <w:sz w:val="24"/>
          <w:szCs w:val="24"/>
          <w:lang w:val="en-GB"/>
        </w:rPr>
      </w:pPr>
    </w:p>
    <w:p w:rsidR="002F12BC" w:rsidRPr="00C12023" w:rsidRDefault="002F12BC" w:rsidP="002F12BC">
      <w:pPr>
        <w:ind w:left="720"/>
        <w:contextualSpacing/>
        <w:rPr>
          <w:sz w:val="24"/>
          <w:szCs w:val="24"/>
          <w:lang w:val="en-GB"/>
        </w:rPr>
      </w:pPr>
    </w:p>
    <w:p w:rsidR="00ED2591" w:rsidRPr="002F12BC" w:rsidRDefault="00ED2591" w:rsidP="002F12BC">
      <w:pPr>
        <w:pStyle w:val="ListParagraph"/>
        <w:rPr>
          <w:lang w:val="en-GB"/>
        </w:rPr>
      </w:pPr>
    </w:p>
    <w:sectPr w:rsidR="00ED2591" w:rsidRPr="002F12BC" w:rsidSect="00674448">
      <w:footerReference w:type="default" r:id="rId10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608" w:rsidRDefault="00672608" w:rsidP="00787AAE">
      <w:pPr>
        <w:spacing w:after="0" w:line="240" w:lineRule="auto"/>
      </w:pPr>
      <w:r>
        <w:separator/>
      </w:r>
    </w:p>
  </w:endnote>
  <w:endnote w:type="continuationSeparator" w:id="0">
    <w:p w:rsidR="00672608" w:rsidRDefault="00672608" w:rsidP="0078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93745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87AAE" w:rsidRDefault="00787AA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45D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45D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7AAE" w:rsidRDefault="00787A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608" w:rsidRDefault="00672608" w:rsidP="00787AAE">
      <w:pPr>
        <w:spacing w:after="0" w:line="240" w:lineRule="auto"/>
      </w:pPr>
      <w:r>
        <w:separator/>
      </w:r>
    </w:p>
  </w:footnote>
  <w:footnote w:type="continuationSeparator" w:id="0">
    <w:p w:rsidR="00672608" w:rsidRDefault="00672608" w:rsidP="00787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276D"/>
    <w:multiLevelType w:val="multilevel"/>
    <w:tmpl w:val="63CC0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61A48"/>
    <w:multiLevelType w:val="hybridMultilevel"/>
    <w:tmpl w:val="E55E0224"/>
    <w:lvl w:ilvl="0" w:tplc="100C000F">
      <w:start w:val="1"/>
      <w:numFmt w:val="decimal"/>
      <w:lvlText w:val="%1."/>
      <w:lvlJc w:val="left"/>
      <w:pPr>
        <w:ind w:left="1070" w:hanging="360"/>
      </w:pPr>
    </w:lvl>
    <w:lvl w:ilvl="1" w:tplc="100C0019" w:tentative="1">
      <w:start w:val="1"/>
      <w:numFmt w:val="lowerLetter"/>
      <w:lvlText w:val="%2."/>
      <w:lvlJc w:val="left"/>
      <w:pPr>
        <w:ind w:left="1790" w:hanging="360"/>
      </w:pPr>
    </w:lvl>
    <w:lvl w:ilvl="2" w:tplc="100C001B" w:tentative="1">
      <w:start w:val="1"/>
      <w:numFmt w:val="lowerRoman"/>
      <w:lvlText w:val="%3."/>
      <w:lvlJc w:val="right"/>
      <w:pPr>
        <w:ind w:left="2510" w:hanging="180"/>
      </w:pPr>
    </w:lvl>
    <w:lvl w:ilvl="3" w:tplc="100C000F" w:tentative="1">
      <w:start w:val="1"/>
      <w:numFmt w:val="decimal"/>
      <w:lvlText w:val="%4."/>
      <w:lvlJc w:val="left"/>
      <w:pPr>
        <w:ind w:left="3230" w:hanging="360"/>
      </w:pPr>
    </w:lvl>
    <w:lvl w:ilvl="4" w:tplc="100C0019" w:tentative="1">
      <w:start w:val="1"/>
      <w:numFmt w:val="lowerLetter"/>
      <w:lvlText w:val="%5."/>
      <w:lvlJc w:val="left"/>
      <w:pPr>
        <w:ind w:left="3950" w:hanging="360"/>
      </w:pPr>
    </w:lvl>
    <w:lvl w:ilvl="5" w:tplc="100C001B" w:tentative="1">
      <w:start w:val="1"/>
      <w:numFmt w:val="lowerRoman"/>
      <w:lvlText w:val="%6."/>
      <w:lvlJc w:val="right"/>
      <w:pPr>
        <w:ind w:left="4670" w:hanging="180"/>
      </w:pPr>
    </w:lvl>
    <w:lvl w:ilvl="6" w:tplc="100C000F" w:tentative="1">
      <w:start w:val="1"/>
      <w:numFmt w:val="decimal"/>
      <w:lvlText w:val="%7."/>
      <w:lvlJc w:val="left"/>
      <w:pPr>
        <w:ind w:left="5390" w:hanging="360"/>
      </w:pPr>
    </w:lvl>
    <w:lvl w:ilvl="7" w:tplc="100C0019" w:tentative="1">
      <w:start w:val="1"/>
      <w:numFmt w:val="lowerLetter"/>
      <w:lvlText w:val="%8."/>
      <w:lvlJc w:val="left"/>
      <w:pPr>
        <w:ind w:left="6110" w:hanging="360"/>
      </w:pPr>
    </w:lvl>
    <w:lvl w:ilvl="8" w:tplc="10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08510CC"/>
    <w:multiLevelType w:val="hybridMultilevel"/>
    <w:tmpl w:val="AD067430"/>
    <w:lvl w:ilvl="0" w:tplc="5BE268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F0EAD"/>
    <w:multiLevelType w:val="hybridMultilevel"/>
    <w:tmpl w:val="62560CD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7772F"/>
    <w:multiLevelType w:val="multilevel"/>
    <w:tmpl w:val="1C1A5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6580F"/>
    <w:multiLevelType w:val="hybridMultilevel"/>
    <w:tmpl w:val="F8AA237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616AF"/>
    <w:multiLevelType w:val="hybridMultilevel"/>
    <w:tmpl w:val="EC96CF64"/>
    <w:lvl w:ilvl="0" w:tplc="100C000F">
      <w:start w:val="1"/>
      <w:numFmt w:val="decimal"/>
      <w:lvlText w:val="%1."/>
      <w:lvlJc w:val="left"/>
      <w:pPr>
        <w:ind w:left="1069" w:hanging="360"/>
      </w:p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2B24DE"/>
    <w:multiLevelType w:val="hybridMultilevel"/>
    <w:tmpl w:val="20825E8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06243"/>
    <w:multiLevelType w:val="hybridMultilevel"/>
    <w:tmpl w:val="E7C65D8E"/>
    <w:lvl w:ilvl="0" w:tplc="FEB2BBB4">
      <w:start w:val="1"/>
      <w:numFmt w:val="decimal"/>
      <w:lvlText w:val="%1."/>
      <w:lvlJc w:val="left"/>
      <w:pPr>
        <w:ind w:left="1788" w:hanging="360"/>
      </w:pPr>
      <w:rPr>
        <w:rFonts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2508" w:hanging="360"/>
      </w:pPr>
    </w:lvl>
    <w:lvl w:ilvl="2" w:tplc="100C001B" w:tentative="1">
      <w:start w:val="1"/>
      <w:numFmt w:val="lowerRoman"/>
      <w:lvlText w:val="%3."/>
      <w:lvlJc w:val="right"/>
      <w:pPr>
        <w:ind w:left="3228" w:hanging="180"/>
      </w:pPr>
    </w:lvl>
    <w:lvl w:ilvl="3" w:tplc="100C000F" w:tentative="1">
      <w:start w:val="1"/>
      <w:numFmt w:val="decimal"/>
      <w:lvlText w:val="%4."/>
      <w:lvlJc w:val="left"/>
      <w:pPr>
        <w:ind w:left="3948" w:hanging="360"/>
      </w:pPr>
    </w:lvl>
    <w:lvl w:ilvl="4" w:tplc="100C0019" w:tentative="1">
      <w:start w:val="1"/>
      <w:numFmt w:val="lowerLetter"/>
      <w:lvlText w:val="%5."/>
      <w:lvlJc w:val="left"/>
      <w:pPr>
        <w:ind w:left="4668" w:hanging="360"/>
      </w:pPr>
    </w:lvl>
    <w:lvl w:ilvl="5" w:tplc="100C001B" w:tentative="1">
      <w:start w:val="1"/>
      <w:numFmt w:val="lowerRoman"/>
      <w:lvlText w:val="%6."/>
      <w:lvlJc w:val="right"/>
      <w:pPr>
        <w:ind w:left="5388" w:hanging="180"/>
      </w:pPr>
    </w:lvl>
    <w:lvl w:ilvl="6" w:tplc="100C000F" w:tentative="1">
      <w:start w:val="1"/>
      <w:numFmt w:val="decimal"/>
      <w:lvlText w:val="%7."/>
      <w:lvlJc w:val="left"/>
      <w:pPr>
        <w:ind w:left="6108" w:hanging="360"/>
      </w:pPr>
    </w:lvl>
    <w:lvl w:ilvl="7" w:tplc="100C0019" w:tentative="1">
      <w:start w:val="1"/>
      <w:numFmt w:val="lowerLetter"/>
      <w:lvlText w:val="%8."/>
      <w:lvlJc w:val="left"/>
      <w:pPr>
        <w:ind w:left="6828" w:hanging="360"/>
      </w:pPr>
    </w:lvl>
    <w:lvl w:ilvl="8" w:tplc="100C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B9"/>
    <w:rsid w:val="001464EA"/>
    <w:rsid w:val="00176F95"/>
    <w:rsid w:val="00180475"/>
    <w:rsid w:val="001A3EC7"/>
    <w:rsid w:val="002A1FA1"/>
    <w:rsid w:val="002B0F1C"/>
    <w:rsid w:val="002B4433"/>
    <w:rsid w:val="002B78C1"/>
    <w:rsid w:val="002F12BC"/>
    <w:rsid w:val="00341AC7"/>
    <w:rsid w:val="00356DCC"/>
    <w:rsid w:val="003A42CA"/>
    <w:rsid w:val="004960CE"/>
    <w:rsid w:val="004B3691"/>
    <w:rsid w:val="005455B5"/>
    <w:rsid w:val="00547111"/>
    <w:rsid w:val="00572756"/>
    <w:rsid w:val="00587164"/>
    <w:rsid w:val="005F37B9"/>
    <w:rsid w:val="00664661"/>
    <w:rsid w:val="00672608"/>
    <w:rsid w:val="00674448"/>
    <w:rsid w:val="006C7956"/>
    <w:rsid w:val="006E5093"/>
    <w:rsid w:val="007127EB"/>
    <w:rsid w:val="00716332"/>
    <w:rsid w:val="00730C6F"/>
    <w:rsid w:val="00787AAE"/>
    <w:rsid w:val="0079238F"/>
    <w:rsid w:val="007A300E"/>
    <w:rsid w:val="008530AB"/>
    <w:rsid w:val="008923AA"/>
    <w:rsid w:val="009345B2"/>
    <w:rsid w:val="00944062"/>
    <w:rsid w:val="00971B0E"/>
    <w:rsid w:val="00973F16"/>
    <w:rsid w:val="009F77ED"/>
    <w:rsid w:val="00A11B13"/>
    <w:rsid w:val="00A260F2"/>
    <w:rsid w:val="00A3274C"/>
    <w:rsid w:val="00AA15B0"/>
    <w:rsid w:val="00B83336"/>
    <w:rsid w:val="00BF45D7"/>
    <w:rsid w:val="00C00559"/>
    <w:rsid w:val="00C12023"/>
    <w:rsid w:val="00D14C62"/>
    <w:rsid w:val="00D56073"/>
    <w:rsid w:val="00D75987"/>
    <w:rsid w:val="00D82F58"/>
    <w:rsid w:val="00E06986"/>
    <w:rsid w:val="00ED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F3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7B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B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autoRedefine/>
    <w:semiHidden/>
    <w:rsid w:val="00787AAE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8"/>
      <w:lang w:val="en-GB" w:eastAsia="x-none"/>
    </w:rPr>
  </w:style>
  <w:style w:type="character" w:customStyle="1" w:styleId="BodyTextChar">
    <w:name w:val="Body Text Char"/>
    <w:basedOn w:val="DefaultParagraphFont"/>
    <w:link w:val="BodyText"/>
    <w:semiHidden/>
    <w:rsid w:val="00787AAE"/>
    <w:rPr>
      <w:rFonts w:ascii="Calibri" w:eastAsia="Times New Roman" w:hAnsi="Calibri" w:cs="Times New Roman"/>
      <w:b/>
      <w:sz w:val="28"/>
      <w:szCs w:val="28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78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AAE"/>
  </w:style>
  <w:style w:type="paragraph" w:styleId="Footer">
    <w:name w:val="footer"/>
    <w:basedOn w:val="Normal"/>
    <w:link w:val="FooterChar"/>
    <w:uiPriority w:val="99"/>
    <w:unhideWhenUsed/>
    <w:rsid w:val="0078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AAE"/>
  </w:style>
  <w:style w:type="paragraph" w:styleId="ListParagraph">
    <w:name w:val="List Paragraph"/>
    <w:basedOn w:val="Normal"/>
    <w:uiPriority w:val="34"/>
    <w:qFormat/>
    <w:rsid w:val="00356D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F1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F3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7B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B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autoRedefine/>
    <w:semiHidden/>
    <w:rsid w:val="00787AAE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8"/>
      <w:lang w:val="en-GB" w:eastAsia="x-none"/>
    </w:rPr>
  </w:style>
  <w:style w:type="character" w:customStyle="1" w:styleId="BodyTextChar">
    <w:name w:val="Body Text Char"/>
    <w:basedOn w:val="DefaultParagraphFont"/>
    <w:link w:val="BodyText"/>
    <w:semiHidden/>
    <w:rsid w:val="00787AAE"/>
    <w:rPr>
      <w:rFonts w:ascii="Calibri" w:eastAsia="Times New Roman" w:hAnsi="Calibri" w:cs="Times New Roman"/>
      <w:b/>
      <w:sz w:val="28"/>
      <w:szCs w:val="28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78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AAE"/>
  </w:style>
  <w:style w:type="paragraph" w:styleId="Footer">
    <w:name w:val="footer"/>
    <w:basedOn w:val="Normal"/>
    <w:link w:val="FooterChar"/>
    <w:uiPriority w:val="99"/>
    <w:unhideWhenUsed/>
    <w:rsid w:val="0078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AAE"/>
  </w:style>
  <w:style w:type="paragraph" w:styleId="ListParagraph">
    <w:name w:val="List Paragraph"/>
    <w:basedOn w:val="Normal"/>
    <w:uiPriority w:val="34"/>
    <w:qFormat/>
    <w:rsid w:val="00356D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F1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Emily</dc:creator>
  <cp:lastModifiedBy>Milan Culjkovic</cp:lastModifiedBy>
  <cp:revision>7</cp:revision>
  <cp:lastPrinted>2015-11-23T13:12:00Z</cp:lastPrinted>
  <dcterms:created xsi:type="dcterms:W3CDTF">2015-11-27T14:56:00Z</dcterms:created>
  <dcterms:modified xsi:type="dcterms:W3CDTF">2015-11-27T15:11:00Z</dcterms:modified>
</cp:coreProperties>
</file>